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黑体" w:hAnsi="黑体" w:eastAsia="黑体" w:cs="黑体"/>
          <w:b/>
          <w:bCs/>
          <w:spacing w:val="-1"/>
          <w:sz w:val="32"/>
          <w:szCs w:val="32"/>
          <w:lang w:val="en-US" w:eastAsia="zh-CN"/>
        </w:rPr>
      </w:pPr>
      <w:r>
        <w:rPr>
          <w:rFonts w:hint="eastAsia" w:ascii="黑体" w:hAnsi="黑体" w:eastAsia="黑体" w:cs="黑体"/>
          <w:b/>
          <w:bCs/>
          <w:spacing w:val="-1"/>
          <w:sz w:val="32"/>
          <w:szCs w:val="32"/>
          <w:lang w:eastAsia="zh-CN"/>
        </w:rPr>
        <w:t>附件</w:t>
      </w:r>
      <w:r>
        <w:rPr>
          <w:rFonts w:hint="eastAsia" w:ascii="黑体" w:hAnsi="黑体" w:eastAsia="黑体" w:cs="黑体"/>
          <w:b/>
          <w:bCs/>
          <w:spacing w:val="-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highlight w:val="none"/>
        </w:rPr>
        <w:t>荧光免疫分析仪</w:t>
      </w:r>
      <w:r>
        <w:rPr>
          <w:rFonts w:hint="eastAsia" w:asciiTheme="minorEastAsia" w:hAnsiTheme="minorEastAsia" w:eastAsiaTheme="minorEastAsia" w:cstheme="minorEastAsia"/>
          <w:b/>
          <w:bCs/>
          <w:sz w:val="28"/>
          <w:szCs w:val="28"/>
          <w:highlight w:val="none"/>
          <w:lang w:eastAsia="zh-CN"/>
        </w:rPr>
        <w:t>参数</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产品基本参数：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功耗：主机输入：100-240VAC</w:t>
      </w:r>
      <w:r>
        <w:rPr>
          <w:rFonts w:hint="eastAsia" w:ascii="仿宋" w:hAnsi="仿宋" w:eastAsia="仿宋" w:cs="仿宋"/>
          <w:color w:val="auto"/>
          <w:sz w:val="28"/>
          <w:szCs w:val="28"/>
          <w:lang w:val="en-US" w:eastAsia="zh-CN"/>
        </w:rPr>
        <w:t xml:space="preserve"> ；  </w:t>
      </w:r>
      <w:r>
        <w:rPr>
          <w:rFonts w:hint="eastAsia" w:ascii="仿宋" w:hAnsi="仿宋" w:eastAsia="仿宋" w:cs="仿宋"/>
          <w:color w:val="auto"/>
          <w:sz w:val="28"/>
          <w:szCs w:val="28"/>
        </w:rPr>
        <w:t>额定功率：</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VA</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工作环境：海拔高度：≤2000m</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相对湿度：10%～80%</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激发光源：LED发</w:t>
      </w:r>
      <w:bookmarkStart w:id="0" w:name="_GoBack"/>
      <w:bookmarkEnd w:id="0"/>
      <w:r>
        <w:rPr>
          <w:rFonts w:hint="eastAsia" w:ascii="仿宋" w:hAnsi="仿宋" w:eastAsia="仿宋" w:cs="仿宋"/>
          <w:color w:val="auto"/>
          <w:sz w:val="28"/>
          <w:szCs w:val="28"/>
        </w:rPr>
        <w:t>光二极管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检测器：硅光电二极管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激发光谱：中心波长λ0=365nm</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接收光谱：中心波长λ1=610nm</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显示：显示屏类别：多点电容屏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显示屏尺寸：≥10.8英寸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显示屏分辨率：≥1920×1200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屏幕比例：3:2</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接口：电源接口：100-240VAC，50/60Hz</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USB：USB 2.0×2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串口：RS232×2</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网络：RJ45</w:t>
      </w:r>
      <w:r>
        <w:rPr>
          <w:rFonts w:hint="eastAsia" w:ascii="仿宋" w:hAnsi="仿宋" w:eastAsia="仿宋" w:cs="仿宋"/>
          <w:strike w:val="0"/>
          <w:dstrike w:val="0"/>
          <w:color w:val="auto"/>
          <w:sz w:val="28"/>
          <w:szCs w:val="28"/>
        </w:rPr>
        <w:t>连接网络打印机或连接LIS系统</w:t>
      </w:r>
    </w:p>
    <w:p>
      <w:pPr>
        <w:keepNext w:val="0"/>
        <w:keepLines w:val="0"/>
        <w:pageBreakBefore w:val="0"/>
        <w:widowControl w:val="0"/>
        <w:kinsoku/>
        <w:wordWrap/>
        <w:overflowPunct/>
        <w:topLinePunct w:val="0"/>
        <w:autoSpaceDE/>
        <w:autoSpaceDN/>
        <w:bidi w:val="0"/>
        <w:adjustRightInd/>
        <w:snapToGrid/>
        <w:spacing w:line="400" w:lineRule="exact"/>
        <w:ind w:left="1225" w:leftChars="250" w:hanging="700" w:hangingChars="250"/>
        <w:textAlignment w:val="auto"/>
        <w:rPr>
          <w:rFonts w:hint="eastAsia" w:ascii="仿宋" w:hAnsi="仿宋" w:eastAsia="仿宋" w:cs="仿宋"/>
          <w:strike/>
          <w:dstrike w:val="0"/>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打印：支持热敏打印机；网络打印机；USB打印机；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软件系统：windows系统，内置多模块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信息录入：可在检测前、中、后随时录入患者信息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结果查询：可根据姓名、ID、</w:t>
      </w:r>
      <w:r>
        <w:rPr>
          <w:rFonts w:hint="eastAsia" w:ascii="仿宋" w:hAnsi="仿宋" w:eastAsia="仿宋" w:cs="仿宋"/>
          <w:color w:val="auto"/>
          <w:sz w:val="28"/>
          <w:szCs w:val="28"/>
          <w:lang w:val="en-US" w:eastAsia="zh-CN"/>
        </w:rPr>
        <w:t>流水号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报告系统：可以外接打印机打印报告；或在院方提供LIS系统接口协议后连接医院LIS</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质控：仪器自带质控模块，</w:t>
      </w:r>
      <w:r>
        <w:rPr>
          <w:rFonts w:hint="eastAsia" w:ascii="仿宋" w:hAnsi="仿宋" w:eastAsia="仿宋" w:cs="仿宋"/>
          <w:color w:val="auto"/>
          <w:sz w:val="28"/>
          <w:szCs w:val="28"/>
          <w:lang w:val="en-US" w:eastAsia="zh-CN"/>
        </w:rPr>
        <w:t>自</w:t>
      </w:r>
      <w:r>
        <w:rPr>
          <w:rFonts w:hint="eastAsia" w:ascii="仿宋" w:hAnsi="仿宋" w:eastAsia="仿宋" w:cs="仿宋"/>
          <w:color w:val="auto"/>
          <w:sz w:val="28"/>
          <w:szCs w:val="28"/>
        </w:rPr>
        <w:t>动生成质控图。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病程监控：仪器可自动生成患者检测指标监控图，实时反应指标变化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电子签名：可录入医生电子签名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产品性能参数：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重复性：变异系数≤</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准确性：相对偏差≤±5%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线性：相关系数≥0.9900。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稳定性：在工作状态第0个小时、第4个小时、第8小时检测时，相对偏差≤±5%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样本类型：全血、血清/血浆和尿液等（具体采用哪种样本需以相应的定量检测试剂盒使用说明书为准）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试剂读取：各项目具有独立的一维码编码，仪器自动扫描并判断项目信息，并控制对于的反应时间，快捷方便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高速检测：≥</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个检测通道，只需要将加好样本的</w:t>
      </w:r>
      <w:r>
        <w:rPr>
          <w:rFonts w:hint="eastAsia" w:ascii="仿宋" w:hAnsi="仿宋" w:eastAsia="仿宋" w:cs="仿宋"/>
          <w:color w:val="auto"/>
          <w:sz w:val="28"/>
          <w:szCs w:val="28"/>
          <w:lang w:eastAsia="zh-CN"/>
        </w:rPr>
        <w:t>试剂卡</w:t>
      </w:r>
      <w:r>
        <w:rPr>
          <w:rFonts w:hint="eastAsia" w:ascii="仿宋" w:hAnsi="仿宋" w:eastAsia="仿宋" w:cs="仿宋"/>
          <w:color w:val="auto"/>
          <w:sz w:val="28"/>
          <w:szCs w:val="28"/>
        </w:rPr>
        <w:t>插入卡槽，层析反应过程自动由系统监测控制，系统自动检测结果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可同时开展</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个</w:t>
      </w:r>
      <w:r>
        <w:rPr>
          <w:rFonts w:hint="eastAsia" w:ascii="仿宋" w:hAnsi="仿宋" w:eastAsia="仿宋" w:cs="仿宋"/>
          <w:color w:val="auto"/>
          <w:sz w:val="28"/>
          <w:szCs w:val="28"/>
          <w:lang w:eastAsia="zh-CN"/>
        </w:rPr>
        <w:t>及以上</w:t>
      </w:r>
      <w:r>
        <w:rPr>
          <w:rFonts w:hint="eastAsia" w:ascii="仿宋" w:hAnsi="仿宋" w:eastAsia="仿宋" w:cs="仿宋"/>
          <w:color w:val="auto"/>
          <w:sz w:val="28"/>
          <w:szCs w:val="28"/>
        </w:rPr>
        <w:t>不同</w:t>
      </w:r>
      <w:r>
        <w:rPr>
          <w:rFonts w:hint="eastAsia" w:ascii="仿宋" w:hAnsi="仿宋" w:eastAsia="仿宋" w:cs="仿宋"/>
          <w:color w:val="auto"/>
          <w:sz w:val="28"/>
          <w:szCs w:val="28"/>
          <w:lang w:eastAsia="zh-CN"/>
        </w:rPr>
        <w:t>项目的</w:t>
      </w:r>
      <w:r>
        <w:rPr>
          <w:rFonts w:hint="eastAsia" w:ascii="仿宋" w:hAnsi="仿宋" w:eastAsia="仿宋" w:cs="仿宋"/>
          <w:color w:val="auto"/>
          <w:sz w:val="28"/>
          <w:szCs w:val="28"/>
        </w:rPr>
        <w:t>试剂卡</w:t>
      </w:r>
      <w:r>
        <w:rPr>
          <w:rFonts w:hint="eastAsia" w:ascii="仿宋" w:hAnsi="仿宋" w:eastAsia="仿宋" w:cs="仿宋"/>
          <w:color w:val="auto"/>
          <w:sz w:val="28"/>
          <w:szCs w:val="28"/>
          <w:lang w:eastAsia="zh-CN"/>
        </w:rPr>
        <w:t>检测</w:t>
      </w:r>
      <w:r>
        <w:rPr>
          <w:rFonts w:hint="eastAsia" w:ascii="仿宋" w:hAnsi="仿宋" w:eastAsia="仿宋" w:cs="仿宋"/>
          <w:color w:val="auto"/>
          <w:sz w:val="28"/>
          <w:szCs w:val="28"/>
        </w:rPr>
        <w:t>，最高可达</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0测试/小时</w:t>
      </w:r>
      <w:r>
        <w:rPr>
          <w:rFonts w:hint="eastAsia" w:ascii="仿宋" w:hAnsi="仿宋" w:eastAsia="仿宋" w:cs="仿宋"/>
          <w:color w:val="auto"/>
          <w:sz w:val="28"/>
          <w:szCs w:val="28"/>
          <w:lang w:eastAsia="zh-CN"/>
        </w:rPr>
        <w:t>。</w:t>
      </w:r>
    </w:p>
    <w:p>
      <w:pPr>
        <w:spacing w:line="500" w:lineRule="exact"/>
        <w:rPr>
          <w:rFonts w:hint="eastAsia" w:ascii="仿宋" w:hAnsi="仿宋" w:eastAsia="仿宋" w:cs="仿宋"/>
          <w:b/>
          <w:bCs w:val="0"/>
          <w:color w:val="000000"/>
          <w:sz w:val="28"/>
          <w:szCs w:val="28"/>
          <w:lang w:eastAsia="zh-CN"/>
        </w:rPr>
      </w:pPr>
      <w:r>
        <w:rPr>
          <w:rFonts w:hint="eastAsia" w:ascii="仿宋" w:hAnsi="仿宋" w:eastAsia="仿宋" w:cs="仿宋"/>
          <w:b/>
          <w:bCs w:val="0"/>
          <w:color w:val="000000"/>
          <w:sz w:val="28"/>
          <w:szCs w:val="28"/>
          <w:lang w:eastAsia="zh-CN"/>
        </w:rPr>
        <w:t>三、商务要求：</w:t>
      </w:r>
    </w:p>
    <w:p>
      <w:pPr>
        <w:numPr>
          <w:ilvl w:val="0"/>
          <w:numId w:val="0"/>
        </w:numPr>
        <w:spacing w:line="500" w:lineRule="exac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lang w:eastAsia="zh-CN"/>
        </w:rPr>
        <w:t>设备质保期≥</w:t>
      </w:r>
      <w:r>
        <w:rPr>
          <w:rFonts w:hint="eastAsia" w:ascii="仿宋" w:hAnsi="仿宋" w:eastAsia="仿宋" w:cs="仿宋"/>
          <w:bCs/>
          <w:color w:val="000000"/>
          <w:sz w:val="28"/>
          <w:szCs w:val="28"/>
          <w:lang w:val="en-US" w:eastAsia="zh-CN"/>
        </w:rPr>
        <w:t>5年。</w:t>
      </w:r>
    </w:p>
    <w:p>
      <w:pPr>
        <w:pStyle w:val="5"/>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2、设备连接</w:t>
      </w:r>
      <w:r>
        <w:rPr>
          <w:rFonts w:hint="eastAsia" w:ascii="仿宋" w:hAnsi="仿宋" w:eastAsia="仿宋" w:cs="仿宋"/>
          <w:bCs/>
          <w:color w:val="000000"/>
          <w:sz w:val="28"/>
          <w:szCs w:val="28"/>
        </w:rPr>
        <w:t>LIS和HIS</w:t>
      </w:r>
      <w:r>
        <w:rPr>
          <w:rFonts w:hint="eastAsia" w:ascii="仿宋" w:hAnsi="仿宋" w:eastAsia="仿宋" w:cs="仿宋"/>
          <w:bCs/>
          <w:color w:val="000000"/>
          <w:sz w:val="28"/>
          <w:szCs w:val="28"/>
          <w:lang w:eastAsia="zh-CN"/>
        </w:rPr>
        <w:t>接口费用由中标供应商承担。</w:t>
      </w:r>
    </w:p>
    <w:p>
      <w:pPr>
        <w:pStyle w:val="5"/>
        <w:numPr>
          <w:numId w:val="0"/>
        </w:numPr>
        <w:rPr>
          <w:rStyle w:val="13"/>
          <w:rFonts w:hint="eastAsia" w:ascii="仿宋" w:hAnsi="仿宋" w:eastAsia="仿宋" w:cs="仿宋"/>
          <w:color w:val="000000" w:themeColor="text1"/>
          <w:kern w:val="0"/>
          <w:sz w:val="28"/>
          <w:szCs w:val="28"/>
          <w:lang w:val="en-US" w:eastAsia="zh-CN" w:bidi="ar"/>
        </w:rPr>
      </w:pP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lang w:eastAsia="zh-CN"/>
        </w:rPr>
        <w:t>配套试剂及耗材必须在四川省药械集中采购及医药价格监管平台挂网产品，否则一票否决。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Style w:val="13"/>
          <w:rFonts w:hint="eastAsia" w:ascii="仿宋" w:hAnsi="仿宋" w:eastAsia="仿宋" w:cs="仿宋"/>
          <w:color w:val="000000" w:themeColor="text1"/>
          <w:kern w:val="0"/>
          <w:sz w:val="28"/>
          <w:szCs w:val="28"/>
          <w:lang w:val="en-US" w:eastAsia="zh-CN" w:bidi="ar"/>
        </w:rPr>
      </w:pPr>
      <w:r>
        <w:rPr>
          <w:rStyle w:val="13"/>
          <w:rFonts w:hint="eastAsia" w:ascii="仿宋" w:hAnsi="仿宋" w:eastAsia="仿宋" w:cs="仿宋"/>
          <w:color w:val="000000" w:themeColor="text1"/>
          <w:kern w:val="0"/>
          <w:sz w:val="28"/>
          <w:szCs w:val="28"/>
          <w:lang w:val="en-US" w:eastAsia="zh-CN" w:bidi="ar"/>
        </w:rPr>
        <w:t>四、评分标准</w:t>
      </w:r>
    </w:p>
    <w:tbl>
      <w:tblPr>
        <w:tblStyle w:val="10"/>
        <w:tblW w:w="8805"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1125"/>
        <w:gridCol w:w="1260"/>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评分</w:t>
            </w:r>
            <w:r>
              <w:rPr>
                <w:rFonts w:hint="eastAsia" w:ascii="仿宋" w:hAnsi="仿宋" w:eastAsia="仿宋" w:cs="仿宋"/>
                <w:b/>
                <w:i w:val="0"/>
                <w:color w:val="000000"/>
                <w:kern w:val="0"/>
                <w:sz w:val="28"/>
                <w:szCs w:val="28"/>
                <w:u w:val="none"/>
                <w:lang w:val="en-US" w:eastAsia="zh-CN" w:bidi="ar"/>
              </w:rPr>
              <w:br w:type="textWrapping"/>
            </w:r>
            <w:r>
              <w:rPr>
                <w:rFonts w:hint="eastAsia" w:ascii="仿宋" w:hAnsi="仿宋" w:eastAsia="仿宋" w:cs="仿宋"/>
                <w:b/>
                <w:i w:val="0"/>
                <w:color w:val="000000"/>
                <w:kern w:val="0"/>
                <w:sz w:val="28"/>
                <w:szCs w:val="28"/>
                <w:u w:val="none"/>
                <w:lang w:val="en-US" w:eastAsia="zh-CN" w:bidi="ar"/>
              </w:rPr>
              <w:t>因素</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权值(分)</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9"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60 </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Style w:val="26"/>
                <w:rFonts w:hint="eastAsia" w:ascii="仿宋" w:hAnsi="仿宋" w:eastAsia="仿宋" w:cs="仿宋"/>
                <w:sz w:val="28"/>
                <w:szCs w:val="28"/>
                <w:lang w:val="en-US" w:eastAsia="zh-CN" w:bidi="ar"/>
              </w:rPr>
              <w:t>所有报价的最低报价</w:t>
            </w:r>
            <w:r>
              <w:rPr>
                <w:rStyle w:val="27"/>
                <w:rFonts w:hint="eastAsia" w:ascii="仿宋" w:hAnsi="仿宋" w:eastAsia="仿宋" w:cs="仿宋"/>
                <w:sz w:val="28"/>
                <w:szCs w:val="28"/>
                <w:lang w:val="en-US" w:eastAsia="zh-CN" w:bidi="ar"/>
              </w:rPr>
              <w:t>确认价</w:t>
            </w:r>
            <w:r>
              <w:rPr>
                <w:rStyle w:val="26"/>
                <w:rFonts w:hint="eastAsia" w:ascii="仿宋" w:hAnsi="仿宋" w:eastAsia="仿宋" w:cs="仿宋"/>
                <w:sz w:val="28"/>
                <w:szCs w:val="28"/>
                <w:lang w:val="en-US" w:eastAsia="zh-CN" w:bidi="ar"/>
              </w:rPr>
              <w:t>为基准价，报价得分＝（基准价/</w:t>
            </w:r>
            <w:r>
              <w:rPr>
                <w:rStyle w:val="27"/>
                <w:rFonts w:hint="eastAsia" w:ascii="仿宋" w:hAnsi="仿宋" w:eastAsia="仿宋" w:cs="仿宋"/>
                <w:sz w:val="28"/>
                <w:szCs w:val="28"/>
                <w:lang w:val="en-US" w:eastAsia="zh-CN" w:bidi="ar"/>
              </w:rPr>
              <w:t>确认价</w:t>
            </w:r>
            <w:r>
              <w:rPr>
                <w:rStyle w:val="26"/>
                <w:rFonts w:hint="eastAsia" w:ascii="仿宋" w:hAnsi="仿宋" w:eastAsia="仿宋" w:cs="仿宋"/>
                <w:sz w:val="28"/>
                <w:szCs w:val="28"/>
                <w:lang w:val="en-US" w:eastAsia="zh-CN" w:bidi="ar"/>
              </w:rPr>
              <w:t>）×价格权值。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技术参数指标质量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Style w:val="26"/>
                <w:rFonts w:hint="eastAsia" w:ascii="仿宋" w:hAnsi="仿宋" w:eastAsia="仿宋" w:cs="仿宋"/>
                <w:sz w:val="28"/>
                <w:szCs w:val="28"/>
                <w:lang w:val="en-US" w:eastAsia="zh-CN" w:bidi="ar"/>
              </w:rPr>
              <w:t>能完全响应采购需求的得满分，每有一项负偏离扣</w:t>
            </w:r>
            <w:r>
              <w:rPr>
                <w:rStyle w:val="28"/>
                <w:rFonts w:hint="eastAsia" w:ascii="仿宋" w:hAnsi="仿宋" w:eastAsia="仿宋" w:cs="仿宋"/>
                <w:sz w:val="28"/>
                <w:szCs w:val="28"/>
                <w:lang w:val="en-US" w:eastAsia="zh-CN" w:bidi="ar"/>
              </w:rPr>
              <w:t>5</w:t>
            </w:r>
            <w:r>
              <w:rPr>
                <w:rStyle w:val="26"/>
                <w:rFonts w:hint="eastAsia" w:ascii="仿宋" w:hAnsi="仿宋" w:eastAsia="仿宋" w:cs="仿宋"/>
                <w:sz w:val="28"/>
                <w:szCs w:val="28"/>
                <w:lang w:val="en-US" w:eastAsia="zh-CN" w:bidi="ar"/>
              </w:rPr>
              <w:t>分，不能满足的不得分。（涉及有配套试剂或耗材的</w:t>
            </w:r>
            <w:r>
              <w:rPr>
                <w:rFonts w:hint="eastAsia" w:ascii="仿宋" w:hAnsi="仿宋" w:eastAsia="仿宋" w:cs="仿宋"/>
                <w:bCs/>
                <w:color w:val="000000"/>
                <w:sz w:val="28"/>
                <w:szCs w:val="28"/>
                <w:lang w:eastAsia="zh-CN"/>
              </w:rPr>
              <w:t>必须在四川省药械集中采购及医药价格监管平台挂网产品，否则一票否决）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售后服务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所有售后服务质保期最长的为基准数，最终得分=（各公司报的质保期数/基准数）×权值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总    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8"/>
                <w:szCs w:val="28"/>
                <w:u w:val="none"/>
              </w:rPr>
            </w:pPr>
          </w:p>
        </w:tc>
      </w:tr>
    </w:tbl>
    <w:p>
      <w:pPr>
        <w:pStyle w:val="2"/>
        <w:rPr>
          <w:rFonts w:hint="eastAsia"/>
          <w:lang w:val="en-US" w:eastAsia="zh-CN"/>
        </w:rPr>
      </w:pPr>
    </w:p>
    <w:p>
      <w:pPr>
        <w:pStyle w:val="2"/>
        <w:rPr>
          <w:rFonts w:hint="eastAsia"/>
          <w:lang w:val="en-US" w:eastAsia="zh-CN"/>
        </w:rPr>
      </w:pPr>
    </w:p>
    <w:p>
      <w:pPr>
        <w:pStyle w:val="2"/>
        <w:pageBreakBefore w:val="0"/>
        <w:widowControl w:val="0"/>
        <w:kinsoku/>
        <w:wordWrap/>
        <w:overflowPunct/>
        <w:topLinePunct w:val="0"/>
        <w:bidi w:val="0"/>
        <w:snapToGrid/>
        <w:spacing w:line="52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7376"/>
    <w:rsid w:val="00121517"/>
    <w:rsid w:val="00184E6B"/>
    <w:rsid w:val="0048422D"/>
    <w:rsid w:val="00583BC0"/>
    <w:rsid w:val="00662922"/>
    <w:rsid w:val="006D1171"/>
    <w:rsid w:val="008663DE"/>
    <w:rsid w:val="008A0594"/>
    <w:rsid w:val="009A4067"/>
    <w:rsid w:val="00AB2051"/>
    <w:rsid w:val="00B61A63"/>
    <w:rsid w:val="00BB4016"/>
    <w:rsid w:val="00D67376"/>
    <w:rsid w:val="00D75C56"/>
    <w:rsid w:val="00D76BD2"/>
    <w:rsid w:val="05426F93"/>
    <w:rsid w:val="05C272BE"/>
    <w:rsid w:val="067B3EEB"/>
    <w:rsid w:val="0806109A"/>
    <w:rsid w:val="08447783"/>
    <w:rsid w:val="08AB33F6"/>
    <w:rsid w:val="09E06D4D"/>
    <w:rsid w:val="0BE87F0A"/>
    <w:rsid w:val="0C115A52"/>
    <w:rsid w:val="0C7403D8"/>
    <w:rsid w:val="0F4E7772"/>
    <w:rsid w:val="115359B7"/>
    <w:rsid w:val="139A6D8A"/>
    <w:rsid w:val="175A2CB2"/>
    <w:rsid w:val="19286081"/>
    <w:rsid w:val="1A145DD9"/>
    <w:rsid w:val="1B0D6044"/>
    <w:rsid w:val="1BD22B41"/>
    <w:rsid w:val="1CF16A3E"/>
    <w:rsid w:val="1D2710FA"/>
    <w:rsid w:val="1D9742D1"/>
    <w:rsid w:val="1E4D2491"/>
    <w:rsid w:val="1F0609F0"/>
    <w:rsid w:val="1F8E1A80"/>
    <w:rsid w:val="1FAD22D2"/>
    <w:rsid w:val="20B04334"/>
    <w:rsid w:val="24822F08"/>
    <w:rsid w:val="25097520"/>
    <w:rsid w:val="25944C96"/>
    <w:rsid w:val="289A6C52"/>
    <w:rsid w:val="2A281D7E"/>
    <w:rsid w:val="2CDC5DF6"/>
    <w:rsid w:val="2D662A1C"/>
    <w:rsid w:val="2DB71C8A"/>
    <w:rsid w:val="2DF20F83"/>
    <w:rsid w:val="2F153EC2"/>
    <w:rsid w:val="2F283B83"/>
    <w:rsid w:val="33257F53"/>
    <w:rsid w:val="33BC31D9"/>
    <w:rsid w:val="33EE551B"/>
    <w:rsid w:val="34A64E28"/>
    <w:rsid w:val="36490D21"/>
    <w:rsid w:val="38020229"/>
    <w:rsid w:val="3817055B"/>
    <w:rsid w:val="384D0524"/>
    <w:rsid w:val="38CA7CCF"/>
    <w:rsid w:val="392B146B"/>
    <w:rsid w:val="3A6E2F35"/>
    <w:rsid w:val="3BF80AEE"/>
    <w:rsid w:val="3DA57EA1"/>
    <w:rsid w:val="3F300F27"/>
    <w:rsid w:val="408900CC"/>
    <w:rsid w:val="415A19B0"/>
    <w:rsid w:val="44B21EA0"/>
    <w:rsid w:val="455045F2"/>
    <w:rsid w:val="47EE4A07"/>
    <w:rsid w:val="48DF5CB3"/>
    <w:rsid w:val="493938F1"/>
    <w:rsid w:val="49AC18DF"/>
    <w:rsid w:val="4B9B14BB"/>
    <w:rsid w:val="4DFC4472"/>
    <w:rsid w:val="4F210ED3"/>
    <w:rsid w:val="4F6E1C51"/>
    <w:rsid w:val="4FAF2613"/>
    <w:rsid w:val="50601DDF"/>
    <w:rsid w:val="50B372ED"/>
    <w:rsid w:val="515C39FD"/>
    <w:rsid w:val="5256357F"/>
    <w:rsid w:val="52A80C1A"/>
    <w:rsid w:val="52F567A1"/>
    <w:rsid w:val="53E900E4"/>
    <w:rsid w:val="53EA5C5F"/>
    <w:rsid w:val="544229CE"/>
    <w:rsid w:val="54582E6F"/>
    <w:rsid w:val="546348E9"/>
    <w:rsid w:val="5AEE14E8"/>
    <w:rsid w:val="5B4D09AB"/>
    <w:rsid w:val="5CB11808"/>
    <w:rsid w:val="5DA47764"/>
    <w:rsid w:val="5EAE4D62"/>
    <w:rsid w:val="5EBF570D"/>
    <w:rsid w:val="5FA24A81"/>
    <w:rsid w:val="60952643"/>
    <w:rsid w:val="60B9416B"/>
    <w:rsid w:val="63AC63BC"/>
    <w:rsid w:val="648A08FD"/>
    <w:rsid w:val="66A21E50"/>
    <w:rsid w:val="67885F56"/>
    <w:rsid w:val="68726F21"/>
    <w:rsid w:val="69BF0E4A"/>
    <w:rsid w:val="69BF55E7"/>
    <w:rsid w:val="6AB239B6"/>
    <w:rsid w:val="6ACB3CF0"/>
    <w:rsid w:val="6BA676C1"/>
    <w:rsid w:val="6CA1434C"/>
    <w:rsid w:val="6F975B7B"/>
    <w:rsid w:val="702F58A0"/>
    <w:rsid w:val="705D78A5"/>
    <w:rsid w:val="718C4C3B"/>
    <w:rsid w:val="76C44859"/>
    <w:rsid w:val="772217E9"/>
    <w:rsid w:val="77805375"/>
    <w:rsid w:val="78136D6C"/>
    <w:rsid w:val="7A060EF5"/>
    <w:rsid w:val="7B646867"/>
    <w:rsid w:val="7D0527D9"/>
    <w:rsid w:val="7E1F4D94"/>
    <w:rsid w:val="7E25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kern w:val="2"/>
      <w:sz w:val="21"/>
      <w:szCs w:val="24"/>
      <w:lang w:val="en-US" w:eastAsia="zh-CN" w:bidi="ar-SA"/>
    </w:rPr>
  </w:style>
  <w:style w:type="paragraph" w:styleId="3">
    <w:name w:val="Subtitle"/>
    <w:next w:val="1"/>
    <w:qFormat/>
    <w:uiPriority w:val="0"/>
    <w:pPr>
      <w:widowControl w:val="0"/>
      <w:spacing w:line="312" w:lineRule="auto"/>
      <w:outlineLvl w:val="1"/>
    </w:pPr>
    <w:rPr>
      <w:rFonts w:ascii="Cambria" w:hAnsi="Cambria" w:eastAsia="宋体" w:cs="Times New Roman"/>
      <w:b/>
      <w:bCs/>
      <w:kern w:val="28"/>
      <w:sz w:val="21"/>
      <w:szCs w:val="32"/>
      <w:lang w:val="en-US" w:eastAsia="zh-CN" w:bidi="ar-SA"/>
    </w:rPr>
  </w:style>
  <w:style w:type="paragraph" w:styleId="5">
    <w:name w:val="Body Text 3"/>
    <w:basedOn w:val="1"/>
    <w:unhideWhenUsed/>
    <w:qFormat/>
    <w:uiPriority w:val="99"/>
    <w:pPr>
      <w:spacing w:after="120"/>
    </w:pPr>
    <w:rPr>
      <w:sz w:val="16"/>
      <w:szCs w:val="16"/>
    </w:r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basedOn w:val="1"/>
    <w:next w:val="1"/>
    <w:qFormat/>
    <w:uiPriority w:val="10"/>
    <w:pPr>
      <w:spacing w:before="240" w:after="60"/>
      <w:jc w:val="center"/>
      <w:outlineLvl w:val="0"/>
    </w:pPr>
    <w:rPr>
      <w:rFonts w:ascii="Cambria" w:hAnsi="Cambria"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rPr>
  </w:style>
  <w:style w:type="character" w:styleId="14">
    <w:name w:val="page number"/>
    <w:basedOn w:val="12"/>
    <w:qFormat/>
    <w:uiPriority w:val="0"/>
  </w:style>
  <w:style w:type="character" w:styleId="15">
    <w:name w:val="FollowedHyperlink"/>
    <w:basedOn w:val="12"/>
    <w:semiHidden/>
    <w:unhideWhenUsed/>
    <w:qFormat/>
    <w:uiPriority w:val="99"/>
    <w:rPr>
      <w:color w:val="000000"/>
      <w:u w:val="none"/>
    </w:rPr>
  </w:style>
  <w:style w:type="character" w:styleId="16">
    <w:name w:val="Hyperlink"/>
    <w:basedOn w:val="12"/>
    <w:semiHidden/>
    <w:unhideWhenUsed/>
    <w:qFormat/>
    <w:uiPriority w:val="99"/>
    <w:rPr>
      <w:color w:val="000000"/>
      <w:u w:val="non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paragraph" w:customStyle="1" w:styleId="19">
    <w:name w:val="Table Paragraph"/>
    <w:basedOn w:val="1"/>
    <w:qFormat/>
    <w:uiPriority w:val="1"/>
    <w:pPr>
      <w:spacing w:before="196"/>
      <w:ind w:left="107"/>
    </w:pPr>
    <w:rPr>
      <w:rFonts w:ascii="宋体" w:hAnsi="宋体" w:eastAsia="宋体" w:cs="宋体"/>
    </w:rPr>
  </w:style>
  <w:style w:type="paragraph" w:styleId="20">
    <w:name w:val="List Paragraph"/>
    <w:basedOn w:val="1"/>
    <w:qFormat/>
    <w:uiPriority w:val="34"/>
    <w:pPr>
      <w:ind w:firstLine="420" w:firstLineChars="200"/>
    </w:pPr>
  </w:style>
  <w:style w:type="character" w:customStyle="1" w:styleId="21">
    <w:name w:val="_Style 3"/>
    <w:qFormat/>
    <w:uiPriority w:val="33"/>
    <w:rPr>
      <w:b/>
      <w:bCs/>
      <w:smallCaps/>
      <w:spacing w:val="5"/>
    </w:rPr>
  </w:style>
  <w:style w:type="paragraph" w:customStyle="1" w:styleId="22">
    <w:name w:val="彩色列表 - 强调文字颜色 11"/>
    <w:basedOn w:val="1"/>
    <w:qFormat/>
    <w:uiPriority w:val="0"/>
    <w:pPr>
      <w:ind w:firstLine="420" w:firstLineChars="200"/>
    </w:pPr>
    <w:rPr>
      <w:rFonts w:ascii="Cambria" w:hAnsi="Cambria" w:eastAsia="宋体" w:cs="Times New Roman"/>
    </w:rPr>
  </w:style>
  <w:style w:type="paragraph" w:customStyle="1" w:styleId="23">
    <w:name w:val="正文首行缩进两字符"/>
    <w:basedOn w:val="1"/>
    <w:qFormat/>
    <w:uiPriority w:val="0"/>
    <w:pPr>
      <w:spacing w:line="360" w:lineRule="auto"/>
      <w:ind w:firstLine="200" w:firstLineChars="200"/>
    </w:pPr>
    <w:rPr>
      <w:rFonts w:cs="Times New Roman"/>
    </w:rPr>
  </w:style>
  <w:style w:type="character" w:customStyle="1" w:styleId="24">
    <w:name w:val="NormalCharacter"/>
    <w:semiHidden/>
    <w:qFormat/>
    <w:uiPriority w:val="0"/>
  </w:style>
  <w:style w:type="paragraph" w:customStyle="1" w:styleId="25">
    <w:name w:val="18"/>
    <w:basedOn w:val="1"/>
    <w:qFormat/>
    <w:uiPriority w:val="0"/>
    <w:pPr>
      <w:widowControl/>
      <w:spacing w:before="100" w:beforeAutospacing="1" w:after="100" w:afterAutospacing="1"/>
      <w:jc w:val="left"/>
    </w:pPr>
    <w:rPr>
      <w:rFonts w:ascii="宋体" w:hAnsi="宋体"/>
      <w:kern w:val="0"/>
      <w:sz w:val="24"/>
    </w:rPr>
  </w:style>
  <w:style w:type="character" w:customStyle="1" w:styleId="26">
    <w:name w:val="font21"/>
    <w:basedOn w:val="12"/>
    <w:qFormat/>
    <w:uiPriority w:val="0"/>
    <w:rPr>
      <w:rFonts w:hint="eastAsia" w:ascii="宋体" w:hAnsi="宋体" w:eastAsia="宋体" w:cs="宋体"/>
      <w:color w:val="000000"/>
      <w:sz w:val="28"/>
      <w:szCs w:val="28"/>
      <w:u w:val="none"/>
    </w:rPr>
  </w:style>
  <w:style w:type="character" w:customStyle="1" w:styleId="27">
    <w:name w:val="font31"/>
    <w:basedOn w:val="12"/>
    <w:qFormat/>
    <w:uiPriority w:val="0"/>
    <w:rPr>
      <w:rFonts w:hint="eastAsia" w:ascii="宋体" w:hAnsi="宋体" w:eastAsia="宋体" w:cs="宋体"/>
      <w:b/>
      <w:color w:val="000000"/>
      <w:sz w:val="28"/>
      <w:szCs w:val="28"/>
      <w:u w:val="none"/>
    </w:rPr>
  </w:style>
  <w:style w:type="character" w:customStyle="1" w:styleId="28">
    <w:name w:val="font1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220</Words>
  <Characters>1260</Characters>
  <Lines>10</Lines>
  <Paragraphs>2</Paragraphs>
  <TotalTime>2</TotalTime>
  <ScaleCrop>false</ScaleCrop>
  <LinksUpToDate>false</LinksUpToDate>
  <CharactersWithSpaces>1478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2020-05-14T06:05:00Z</dcterms:created>
  <dc:creator>微软用户</dc:creator>
  <cp:lastModifiedBy>cgzx</cp:lastModifiedBy>
  <cp:lastPrinted>2023-04-06T06:44:28Z</cp:lastPrinted>
  <dcterms:modified xsi:type="dcterms:W3CDTF">2023-04-06T06:45:39Z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