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351"/>
        </w:tabs>
        <w:spacing w:before="37" w:after="11"/>
        <w:jc w:val="center"/>
        <w:rPr>
          <w:sz w:val="28"/>
          <w:szCs w:val="28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大邑县人民医院招标采购工程造价咨询服务项目</w:t>
      </w:r>
      <w:r>
        <w:rPr>
          <w:sz w:val="28"/>
          <w:szCs w:val="28"/>
        </w:rPr>
        <w:t>综合评分表</w:t>
      </w:r>
    </w:p>
    <w:tbl>
      <w:tblPr>
        <w:tblStyle w:val="4"/>
        <w:tblW w:w="94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815"/>
        <w:gridCol w:w="660"/>
        <w:gridCol w:w="6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412" w:type="dxa"/>
            <w:vAlign w:val="center"/>
          </w:tcPr>
          <w:p>
            <w:pPr>
              <w:pStyle w:val="6"/>
              <w:spacing w:before="3" w:line="398" w:lineRule="exact"/>
              <w:ind w:left="132" w:right="107" w:firstLine="14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pStyle w:val="6"/>
              <w:spacing w:before="3" w:line="398" w:lineRule="exact"/>
              <w:ind w:left="761" w:right="136" w:hanging="586"/>
              <w:jc w:val="center"/>
              <w:rPr>
                <w:sz w:val="24"/>
              </w:rPr>
            </w:pPr>
            <w:r>
              <w:rPr>
                <w:sz w:val="24"/>
              </w:rPr>
              <w:t>评分因素及权重</w:t>
            </w:r>
          </w:p>
        </w:tc>
        <w:tc>
          <w:tcPr>
            <w:tcW w:w="660" w:type="dxa"/>
            <w:vAlign w:val="center"/>
          </w:tcPr>
          <w:p>
            <w:pPr>
              <w:pStyle w:val="6"/>
              <w:spacing w:before="3" w:line="398" w:lineRule="exact"/>
              <w:ind w:left="211" w:right="186" w:firstLine="12"/>
              <w:jc w:val="center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  <w:tc>
          <w:tcPr>
            <w:tcW w:w="6562" w:type="dxa"/>
            <w:vAlign w:val="center"/>
          </w:tcPr>
          <w:p>
            <w:pPr>
              <w:pStyle w:val="6"/>
              <w:spacing w:before="12"/>
              <w:jc w:val="center"/>
              <w:rPr>
                <w:b/>
                <w:sz w:val="21"/>
              </w:rPr>
            </w:pPr>
          </w:p>
          <w:p>
            <w:pPr>
              <w:pStyle w:val="6"/>
              <w:ind w:left="2663" w:right="2626"/>
              <w:jc w:val="center"/>
              <w:rPr>
                <w:sz w:val="24"/>
              </w:rPr>
            </w:pPr>
            <w:r>
              <w:rPr>
                <w:sz w:val="24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412" w:type="dxa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报价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>%</w:t>
            </w:r>
          </w:p>
        </w:tc>
        <w:tc>
          <w:tcPr>
            <w:tcW w:w="660" w:type="dxa"/>
            <w:vAlign w:val="center"/>
          </w:tcPr>
          <w:p>
            <w:pPr>
              <w:pStyle w:val="6"/>
              <w:spacing w:before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>分</w:t>
            </w:r>
          </w:p>
        </w:tc>
        <w:tc>
          <w:tcPr>
            <w:tcW w:w="6562" w:type="dxa"/>
            <w:vAlign w:val="center"/>
          </w:tcPr>
          <w:p>
            <w:pPr>
              <w:pStyle w:val="6"/>
              <w:spacing w:before="81" w:line="240" w:lineRule="auto"/>
              <w:ind w:left="108" w:right="179"/>
              <w:jc w:val="lef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以满足</w:t>
            </w:r>
            <w:r>
              <w:rPr>
                <w:rFonts w:hint="eastAsia"/>
                <w:spacing w:val="-6"/>
                <w:sz w:val="24"/>
                <w:lang w:eastAsia="zh-CN"/>
              </w:rPr>
              <w:t>比选</w:t>
            </w:r>
            <w:r>
              <w:rPr>
                <w:rFonts w:hint="eastAsia"/>
                <w:spacing w:val="-6"/>
                <w:sz w:val="24"/>
              </w:rPr>
              <w:t>文件要求且</w:t>
            </w:r>
            <w:r>
              <w:rPr>
                <w:rFonts w:hint="eastAsia"/>
                <w:spacing w:val="-6"/>
                <w:sz w:val="24"/>
                <w:lang w:eastAsia="zh-CN"/>
              </w:rPr>
              <w:t>比选</w:t>
            </w:r>
            <w:r>
              <w:rPr>
                <w:rFonts w:hint="eastAsia"/>
                <w:spacing w:val="-6"/>
                <w:sz w:val="24"/>
              </w:rPr>
              <w:t>价格</w:t>
            </w:r>
            <w:r>
              <w:rPr>
                <w:rFonts w:hint="eastAsia"/>
                <w:spacing w:val="-6"/>
                <w:sz w:val="24"/>
                <w:lang w:eastAsia="zh-CN"/>
              </w:rPr>
              <w:t>折扣率</w:t>
            </w:r>
            <w:r>
              <w:rPr>
                <w:rFonts w:hint="eastAsia"/>
                <w:spacing w:val="-6"/>
                <w:sz w:val="24"/>
              </w:rPr>
              <w:t>最低的</w:t>
            </w:r>
            <w:r>
              <w:rPr>
                <w:rFonts w:hint="eastAsia"/>
                <w:spacing w:val="-6"/>
                <w:sz w:val="24"/>
                <w:lang w:eastAsia="zh-CN"/>
              </w:rPr>
              <w:t>比选</w:t>
            </w:r>
            <w:r>
              <w:rPr>
                <w:rFonts w:hint="eastAsia"/>
                <w:spacing w:val="-6"/>
                <w:sz w:val="24"/>
              </w:rPr>
              <w:t>报价为评标基准价，其价格分为满分。其他供应商的价格分统一按照下列公式计算：</w:t>
            </w:r>
            <w:r>
              <w:rPr>
                <w:rFonts w:hint="eastAsia"/>
                <w:spacing w:val="-6"/>
                <w:sz w:val="24"/>
                <w:lang w:eastAsia="zh-CN"/>
              </w:rPr>
              <w:t>比选</w:t>
            </w:r>
            <w:r>
              <w:rPr>
                <w:rFonts w:hint="eastAsia"/>
                <w:spacing w:val="-6"/>
                <w:sz w:val="24"/>
              </w:rPr>
              <w:t>报价得分=(评标基准价／</w:t>
            </w:r>
            <w:r>
              <w:rPr>
                <w:rFonts w:hint="eastAsia"/>
                <w:spacing w:val="-6"/>
                <w:sz w:val="24"/>
                <w:lang w:eastAsia="zh-CN"/>
              </w:rPr>
              <w:t>比选折扣率</w:t>
            </w:r>
            <w:r>
              <w:rPr>
                <w:rFonts w:hint="eastAsia"/>
                <w:spacing w:val="-6"/>
                <w:sz w:val="24"/>
              </w:rPr>
              <w:t>报价)×</w:t>
            </w:r>
            <w:r>
              <w:rPr>
                <w:rFonts w:hint="eastAsia"/>
                <w:spacing w:val="-6"/>
                <w:sz w:val="24"/>
                <w:lang w:val="en-US" w:eastAsia="zh-CN"/>
              </w:rPr>
              <w:t>30</w:t>
            </w:r>
            <w:r>
              <w:rPr>
                <w:rFonts w:hint="eastAsia"/>
                <w:spacing w:val="-6"/>
                <w:sz w:val="24"/>
              </w:rPr>
              <w:t>。</w:t>
            </w:r>
          </w:p>
          <w:p>
            <w:pPr>
              <w:pStyle w:val="6"/>
              <w:spacing w:before="3" w:line="240" w:lineRule="auto"/>
              <w:ind w:left="108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2" w:type="dxa"/>
            <w:vAlign w:val="center"/>
          </w:tcPr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pStyle w:val="6"/>
              <w:spacing w:before="158" w:line="312" w:lineRule="auto"/>
              <w:ind w:right="20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人员配置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sz w:val="24"/>
              </w:rPr>
              <w:t>%</w:t>
            </w:r>
          </w:p>
        </w:tc>
        <w:tc>
          <w:tcPr>
            <w:tcW w:w="660" w:type="dxa"/>
            <w:vAlign w:val="center"/>
          </w:tcPr>
          <w:p>
            <w:pPr>
              <w:pStyle w:val="6"/>
              <w:spacing w:before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sz w:val="24"/>
              </w:rPr>
              <w:t>分</w:t>
            </w:r>
          </w:p>
        </w:tc>
        <w:tc>
          <w:tcPr>
            <w:tcW w:w="6562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jc w:val="left"/>
              <w:rPr>
                <w:rFonts w:hint="eastAsia"/>
                <w:color w:val="FF0000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FF0000"/>
                <w:spacing w:val="-6"/>
                <w:sz w:val="24"/>
                <w:highlight w:val="none"/>
              </w:rPr>
              <w:t>项目负责人：</w:t>
            </w:r>
            <w:r>
              <w:rPr>
                <w:rFonts w:hint="eastAsia"/>
                <w:color w:val="FF0000"/>
                <w:spacing w:val="-6"/>
                <w:sz w:val="24"/>
                <w:highlight w:val="none"/>
                <w:lang w:val="en-US" w:eastAsia="zh-CN"/>
              </w:rPr>
              <w:t>具有全国一级注册造价工程师（土木建筑专业）得10分；同时具有工程类高级职称得10分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0" w:leftChars="0" w:firstLine="0" w:firstLineChars="0"/>
              <w:jc w:val="left"/>
              <w:rPr>
                <w:rFonts w:hint="eastAsia"/>
                <w:color w:val="FF0000"/>
                <w:spacing w:val="-6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FF0000"/>
                <w:spacing w:val="-6"/>
                <w:sz w:val="24"/>
                <w:highlight w:val="none"/>
                <w:lang w:val="en-US" w:eastAsia="zh-CN"/>
              </w:rPr>
              <w:t>审核人员：全国一级注册造价工程师（土木建筑专业）得5分</w:t>
            </w:r>
            <w:r>
              <w:rPr>
                <w:rFonts w:hint="eastAsia"/>
                <w:color w:val="FF0000"/>
                <w:spacing w:val="-6"/>
                <w:sz w:val="24"/>
                <w:highlight w:val="none"/>
                <w:lang w:val="en-US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0" w:leftChars="0" w:firstLine="0" w:firstLineChars="0"/>
              <w:jc w:val="left"/>
              <w:rPr>
                <w:rFonts w:hint="eastAsia"/>
                <w:color w:val="FF0000"/>
                <w:spacing w:val="-6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FF0000"/>
                <w:spacing w:val="-6"/>
                <w:sz w:val="24"/>
                <w:highlight w:val="none"/>
                <w:lang w:val="en-US" w:eastAsia="zh-CN"/>
              </w:rPr>
              <w:t>项目作业人员：每提供一名二级注册造价师得5分(土木建筑专业。本项合计最高分为15分</w:t>
            </w:r>
          </w:p>
          <w:p>
            <w:pPr>
              <w:widowControl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left"/>
              <w:rPr>
                <w:rFonts w:hint="default"/>
                <w:spacing w:val="-6"/>
                <w:sz w:val="24"/>
                <w:lang w:val="en-US"/>
              </w:rPr>
            </w:pPr>
            <w:r>
              <w:rPr>
                <w:rFonts w:hint="eastAsia"/>
                <w:color w:val="FF0000"/>
                <w:spacing w:val="-6"/>
                <w:sz w:val="24"/>
                <w:highlight w:val="none"/>
                <w:lang w:val="en-US" w:eastAsia="zh-CN"/>
              </w:rPr>
              <w:t>注：上述人员注册证书需注册在本单位，且需公司提供社保缴纳证明。未提供证书或社保证明不得分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2" w:type="dxa"/>
            <w:vAlign w:val="center"/>
          </w:tcPr>
          <w:p>
            <w:pPr>
              <w:pStyle w:val="6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pStyle w:val="6"/>
              <w:spacing w:before="158" w:line="312" w:lineRule="auto"/>
              <w:ind w:right="203"/>
              <w:jc w:val="center"/>
              <w:rPr>
                <w:sz w:val="24"/>
              </w:rPr>
            </w:pPr>
            <w:r>
              <w:rPr>
                <w:sz w:val="24"/>
              </w:rPr>
              <w:t>履约能力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%</w:t>
            </w:r>
          </w:p>
        </w:tc>
        <w:tc>
          <w:tcPr>
            <w:tcW w:w="660" w:type="dxa"/>
            <w:vAlign w:val="center"/>
          </w:tcPr>
          <w:p>
            <w:pPr>
              <w:pStyle w:val="6"/>
              <w:spacing w:before="9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分</w:t>
            </w:r>
          </w:p>
        </w:tc>
        <w:tc>
          <w:tcPr>
            <w:tcW w:w="6562" w:type="dxa"/>
            <w:vAlign w:val="center"/>
          </w:tcPr>
          <w:p>
            <w:pPr>
              <w:pStyle w:val="6"/>
              <w:spacing w:before="156" w:line="240" w:lineRule="auto"/>
              <w:ind w:left="108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  <w:lang w:val="en-US"/>
              </w:rPr>
              <w:t>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color w:val="FF0000"/>
                <w:spacing w:val="-20"/>
                <w:sz w:val="24"/>
              </w:rPr>
              <w:t xml:space="preserve"> 年 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40"/>
                <w:sz w:val="24"/>
              </w:rPr>
              <w:t xml:space="preserve"> 月 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8"/>
                <w:sz w:val="24"/>
              </w:rPr>
              <w:t xml:space="preserve"> 日以来具备</w:t>
            </w:r>
            <w:r>
              <w:rPr>
                <w:rFonts w:hint="eastAsia"/>
                <w:color w:val="FF0000"/>
                <w:spacing w:val="-8"/>
                <w:sz w:val="24"/>
                <w:lang w:val="en-US" w:eastAsia="zh-CN"/>
              </w:rPr>
              <w:t>1个</w:t>
            </w:r>
            <w:r>
              <w:rPr>
                <w:color w:val="FF0000"/>
                <w:sz w:val="24"/>
              </w:rPr>
              <w:t>类似项目业绩的得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5</w:t>
            </w:r>
            <w:r>
              <w:rPr>
                <w:color w:val="FF0000"/>
                <w:sz w:val="24"/>
              </w:rPr>
              <w:t xml:space="preserve">分，本项满分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20</w:t>
            </w:r>
            <w:r>
              <w:rPr>
                <w:color w:val="FF0000"/>
                <w:sz w:val="24"/>
              </w:rPr>
              <w:t>分。</w:t>
            </w:r>
          </w:p>
          <w:p>
            <w:pPr>
              <w:pStyle w:val="6"/>
              <w:spacing w:before="93" w:line="240" w:lineRule="auto"/>
              <w:ind w:left="108" w:right="179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注：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1、</w:t>
            </w:r>
            <w:r>
              <w:rPr>
                <w:color w:val="FF0000"/>
                <w:sz w:val="24"/>
              </w:rPr>
              <w:t>需提供中标（成交）通知书复印件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或</w:t>
            </w:r>
            <w:r>
              <w:rPr>
                <w:color w:val="FF0000"/>
                <w:sz w:val="24"/>
              </w:rPr>
              <w:t>项目合同复印件并加盖供应商单位公章作为证明材料，不提供证明材料的</w:t>
            </w:r>
          </w:p>
          <w:p>
            <w:pPr>
              <w:pStyle w:val="6"/>
              <w:spacing w:before="146" w:line="240" w:lineRule="auto"/>
              <w:ind w:left="108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不得分。业绩时间以合同签订时间为准。</w:t>
            </w:r>
          </w:p>
          <w:p>
            <w:pPr>
              <w:pStyle w:val="6"/>
              <w:spacing w:before="146" w:line="240" w:lineRule="auto"/>
              <w:ind w:left="108"/>
              <w:jc w:val="lef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2、类似项目业绩是指建筑工程造价咨询类业绩，且每个造价咨询类业绩实体造价在500万以上，含500万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2" w:type="dxa"/>
            <w:vAlign w:val="center"/>
          </w:tcPr>
          <w:p>
            <w:pPr>
              <w:pStyle w:val="6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pStyle w:val="6"/>
              <w:spacing w:before="158" w:line="312" w:lineRule="auto"/>
              <w:ind w:right="20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服务响应8</w:t>
            </w:r>
            <w:r>
              <w:rPr>
                <w:sz w:val="24"/>
              </w:rPr>
              <w:t>%</w:t>
            </w:r>
          </w:p>
        </w:tc>
        <w:tc>
          <w:tcPr>
            <w:tcW w:w="660" w:type="dxa"/>
            <w:vAlign w:val="center"/>
          </w:tcPr>
          <w:p>
            <w:pPr>
              <w:pStyle w:val="6"/>
              <w:spacing w:before="93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分</w:t>
            </w:r>
          </w:p>
        </w:tc>
        <w:tc>
          <w:tcPr>
            <w:tcW w:w="6562" w:type="dxa"/>
            <w:vAlign w:val="center"/>
          </w:tcPr>
          <w:p>
            <w:pPr>
              <w:pStyle w:val="6"/>
              <w:spacing w:before="156" w:line="240" w:lineRule="auto"/>
              <w:ind w:left="108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公司承诺在大邑县有服务地点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在接到采购人通知后30分钟内响应且在1个小时内赶到现场处理。</w:t>
            </w:r>
          </w:p>
          <w:p>
            <w:pPr>
              <w:pStyle w:val="6"/>
              <w:spacing w:before="156" w:line="240" w:lineRule="auto"/>
              <w:ind w:left="108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注：公司对需对上述事项进行承诺响应且提供租房合同，不提供不得分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412" w:type="dxa"/>
            <w:vAlign w:val="center"/>
          </w:tcPr>
          <w:p>
            <w:pPr>
              <w:pStyle w:val="6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pStyle w:val="6"/>
              <w:spacing w:before="158" w:line="312" w:lineRule="auto"/>
              <w:ind w:right="203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响应文件规范性2</w:t>
            </w:r>
            <w:r>
              <w:rPr>
                <w:sz w:val="24"/>
              </w:rPr>
              <w:t>%</w:t>
            </w:r>
          </w:p>
        </w:tc>
        <w:tc>
          <w:tcPr>
            <w:tcW w:w="660" w:type="dxa"/>
            <w:vAlign w:val="center"/>
          </w:tcPr>
          <w:p>
            <w:pPr>
              <w:pStyle w:val="6"/>
              <w:spacing w:before="93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2分</w:t>
            </w:r>
          </w:p>
        </w:tc>
        <w:tc>
          <w:tcPr>
            <w:tcW w:w="6562" w:type="dxa"/>
            <w:vAlign w:val="center"/>
          </w:tcPr>
          <w:p>
            <w:pPr>
              <w:pStyle w:val="6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响应文件制作规范，没有细微偏差情形的得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分；有一项</w:t>
            </w:r>
          </w:p>
          <w:p>
            <w:pPr>
              <w:pStyle w:val="6"/>
              <w:spacing w:before="156" w:line="240" w:lineRule="auto"/>
              <w:ind w:left="108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细微偏差扣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分，直至该项分值扣完为止。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/>
    <w:sectPr>
      <w:footerReference r:id="rId3" w:type="default"/>
      <w:pgSz w:w="11906" w:h="16838"/>
      <w:pgMar w:top="1123" w:right="782" w:bottom="1100" w:left="9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3642995</wp:posOffset>
              </wp:positionH>
              <wp:positionV relativeFrom="page">
                <wp:posOffset>9822180</wp:posOffset>
              </wp:positionV>
              <wp:extent cx="272415" cy="2514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8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85pt;margin-top:773.4pt;height:19.8pt;width:21.45pt;mso-position-horizontal-relative:page;mso-position-vertical-relative:page;z-index:-251657216;mso-width-relative:page;mso-height-relative:page;" filled="f" stroked="f" coordsize="21600,21600" o:gfxdata="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i+cItoAAAANAQAADwAAAAAA&#10;AAABACAAAAAiAAAAZHJzL2Rvd25yZXYueG1sUEsBAhQAFAAAAAgAh07iQI4c3xa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8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0D"/>
    <w:multiLevelType w:val="singleLevel"/>
    <w:tmpl w:val="076679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GExNTE5ZmRlZmE0MDY3OGZjNzM3Y2M3MTUwOGUifQ=="/>
  </w:docVars>
  <w:rsids>
    <w:rsidRoot w:val="00000000"/>
    <w:rsid w:val="12BF1E52"/>
    <w:rsid w:val="14B240D9"/>
    <w:rsid w:val="16340A8A"/>
    <w:rsid w:val="16EF19C5"/>
    <w:rsid w:val="36CA66EA"/>
    <w:rsid w:val="378E6E5B"/>
    <w:rsid w:val="3B2660EB"/>
    <w:rsid w:val="3D161376"/>
    <w:rsid w:val="44AD7929"/>
    <w:rsid w:val="469365BC"/>
    <w:rsid w:val="4B8A2C5B"/>
    <w:rsid w:val="54622035"/>
    <w:rsid w:val="572D655E"/>
    <w:rsid w:val="5ABC33FE"/>
    <w:rsid w:val="65AA1393"/>
    <w:rsid w:val="65BE5911"/>
    <w:rsid w:val="6A8A208C"/>
    <w:rsid w:val="6DB61B22"/>
    <w:rsid w:val="6F4B7C0F"/>
    <w:rsid w:val="72093AA4"/>
    <w:rsid w:val="7403558A"/>
    <w:rsid w:val="77E31606"/>
    <w:rsid w:val="799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ind w:left="553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2024-02-19T09:45:00Z</dcterms:created>
  <dc:creator>HP</dc:creator>
  <cp:lastModifiedBy>Administrator</cp:lastModifiedBy>
  <dcterms:modified xsi:type="dcterms:W3CDTF">2024-04-17T04:05:54Z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97685EF748924E9690EDA5B0ADC2868C_13</vt:lpwstr>
  </property>
</Properties>
</file>